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45D" w:rsidRPr="008E2B5D" w:rsidRDefault="0045445D" w:rsidP="0045445D">
      <w:pPr>
        <w:jc w:val="center"/>
        <w:rPr>
          <w:rFonts w:ascii="Calibri" w:hAnsi="Calibri" w:cs="Arial"/>
          <w:b/>
          <w:sz w:val="28"/>
          <w:szCs w:val="28"/>
        </w:rPr>
      </w:pPr>
      <w:r w:rsidRPr="008E2B5D">
        <w:rPr>
          <w:rFonts w:ascii="Calibri" w:hAnsi="Calibri" w:cs="Arial"/>
          <w:b/>
          <w:sz w:val="28"/>
          <w:szCs w:val="28"/>
        </w:rPr>
        <w:t>CCTP PORTE</w:t>
      </w:r>
      <w:r w:rsidR="008D616A">
        <w:rPr>
          <w:rFonts w:ascii="Calibri" w:hAnsi="Calibri" w:cs="Arial"/>
          <w:b/>
          <w:sz w:val="28"/>
          <w:szCs w:val="28"/>
        </w:rPr>
        <w:t xml:space="preserve"> ACCORDEON</w:t>
      </w:r>
      <w:r w:rsidRPr="008E2B5D">
        <w:rPr>
          <w:rFonts w:ascii="Calibri" w:hAnsi="Calibri" w:cs="Arial"/>
          <w:b/>
          <w:sz w:val="28"/>
          <w:szCs w:val="28"/>
        </w:rPr>
        <w:t xml:space="preserve"> AUTOMATIQUE POUR PARKING COLLECTIF</w:t>
      </w:r>
    </w:p>
    <w:p w:rsidR="0045445D" w:rsidRPr="008E2B5D" w:rsidRDefault="0045445D" w:rsidP="0045445D">
      <w:pPr>
        <w:jc w:val="center"/>
        <w:rPr>
          <w:rFonts w:ascii="Calibri" w:hAnsi="Calibri" w:cs="Arial"/>
          <w:b/>
          <w:sz w:val="28"/>
          <w:szCs w:val="28"/>
        </w:rPr>
      </w:pPr>
      <w:r w:rsidRPr="008E2B5D">
        <w:rPr>
          <w:rFonts w:ascii="Calibri" w:hAnsi="Calibri" w:cs="Arial"/>
          <w:b/>
          <w:sz w:val="28"/>
          <w:szCs w:val="28"/>
        </w:rPr>
        <w:t xml:space="preserve">Référence : SAFIR </w:t>
      </w:r>
      <w:r>
        <w:rPr>
          <w:rFonts w:ascii="Calibri" w:hAnsi="Calibri" w:cs="Arial"/>
          <w:b/>
          <w:sz w:val="28"/>
          <w:szCs w:val="28"/>
        </w:rPr>
        <w:t>W7</w:t>
      </w:r>
      <w:r w:rsidRPr="008E2B5D">
        <w:rPr>
          <w:rFonts w:ascii="Calibri" w:hAnsi="Calibri" w:cs="Arial"/>
          <w:b/>
          <w:sz w:val="28"/>
          <w:szCs w:val="28"/>
        </w:rPr>
        <w:t>24</w:t>
      </w:r>
    </w:p>
    <w:p w:rsidR="0045445D" w:rsidRDefault="0045445D" w:rsidP="0045445D">
      <w:pPr>
        <w:rPr>
          <w:rFonts w:ascii="Calibri" w:hAnsi="Calibri" w:cs="Arial"/>
          <w:b/>
          <w:u w:val="single"/>
        </w:rPr>
      </w:pPr>
    </w:p>
    <w:p w:rsidR="0045445D" w:rsidRDefault="0045445D" w:rsidP="0045445D">
      <w:pPr>
        <w:rPr>
          <w:rFonts w:ascii="Calibri" w:hAnsi="Calibri"/>
        </w:rPr>
      </w:pPr>
    </w:p>
    <w:p w:rsidR="0045445D" w:rsidRPr="00BD7CCC" w:rsidRDefault="0045445D" w:rsidP="0045445D">
      <w:pPr>
        <w:rPr>
          <w:rFonts w:ascii="Calibri" w:hAnsi="Calibri"/>
          <w:b/>
        </w:rPr>
      </w:pPr>
      <w:r w:rsidRPr="00BD7CCC">
        <w:rPr>
          <w:rFonts w:ascii="Calibri" w:hAnsi="Calibri"/>
          <w:b/>
        </w:rPr>
        <w:t>1 - GENERALITE</w:t>
      </w:r>
    </w:p>
    <w:p w:rsidR="0045445D" w:rsidRPr="00834A8F" w:rsidRDefault="0045445D" w:rsidP="0045445D">
      <w:pPr>
        <w:rPr>
          <w:rFonts w:ascii="Calibri" w:hAnsi="Calibri"/>
        </w:rPr>
      </w:pPr>
    </w:p>
    <w:p w:rsidR="0045445D" w:rsidRDefault="0045445D" w:rsidP="0045445D">
      <w:pPr>
        <w:pStyle w:val="Paragraphedeliste"/>
        <w:numPr>
          <w:ilvl w:val="1"/>
          <w:numId w:val="2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-</w:t>
      </w:r>
      <w:r w:rsidRPr="00834A8F">
        <w:rPr>
          <w:rFonts w:ascii="Calibri" w:hAnsi="Calibri" w:cs="Arial"/>
          <w:color w:val="000000"/>
        </w:rPr>
        <w:t xml:space="preserve"> </w:t>
      </w:r>
      <w:r w:rsidRPr="00BD7CCC">
        <w:rPr>
          <w:rFonts w:ascii="Calibri" w:hAnsi="Calibri" w:cs="Arial"/>
          <w:b/>
          <w:color w:val="000000"/>
        </w:rPr>
        <w:t>GARANTIE</w:t>
      </w:r>
    </w:p>
    <w:p w:rsidR="0045445D" w:rsidRPr="00AC266B" w:rsidRDefault="0045445D" w:rsidP="0045445D">
      <w:pPr>
        <w:rPr>
          <w:rFonts w:ascii="Calibri" w:hAnsi="Calibri" w:cs="Arial"/>
          <w:color w:val="000000"/>
        </w:rPr>
      </w:pPr>
    </w:p>
    <w:p w:rsidR="0045445D" w:rsidRDefault="0045445D" w:rsidP="0045445D">
      <w:pPr>
        <w:rPr>
          <w:rFonts w:ascii="Calibri" w:hAnsi="Calibri" w:cs="Arial"/>
          <w:color w:val="000000"/>
        </w:rPr>
      </w:pPr>
      <w:r w:rsidRPr="00E57C48">
        <w:rPr>
          <w:rFonts w:ascii="Calibri" w:hAnsi="Calibri" w:cs="Arial"/>
          <w:color w:val="000000"/>
        </w:rPr>
        <w:t>L’entreprise devra garantir son matériel et son installation</w:t>
      </w:r>
      <w:r>
        <w:rPr>
          <w:rFonts w:ascii="Calibri" w:hAnsi="Calibri" w:cs="Arial"/>
          <w:color w:val="000000"/>
        </w:rPr>
        <w:t>,</w:t>
      </w:r>
      <w:r w:rsidRPr="00E57C48">
        <w:rPr>
          <w:rFonts w:ascii="Calibri" w:hAnsi="Calibri" w:cs="Arial"/>
          <w:color w:val="000000"/>
        </w:rPr>
        <w:t xml:space="preserve"> minimum 1 an après </w:t>
      </w:r>
      <w:r>
        <w:rPr>
          <w:rFonts w:ascii="Calibri" w:hAnsi="Calibri" w:cs="Arial"/>
          <w:color w:val="000000"/>
        </w:rPr>
        <w:t xml:space="preserve">la </w:t>
      </w:r>
      <w:r w:rsidRPr="00E57C48">
        <w:rPr>
          <w:rFonts w:ascii="Calibri" w:hAnsi="Calibri" w:cs="Arial"/>
          <w:color w:val="000000"/>
        </w:rPr>
        <w:t>réception du chantier. La garantie comp</w:t>
      </w:r>
      <w:bookmarkStart w:id="0" w:name="_GoBack"/>
      <w:bookmarkEnd w:id="0"/>
      <w:r w:rsidRPr="00E57C48">
        <w:rPr>
          <w:rFonts w:ascii="Calibri" w:hAnsi="Calibri" w:cs="Arial"/>
          <w:color w:val="000000"/>
        </w:rPr>
        <w:t>rendra les pièces et la main d’œuvre. Pendant la période de garantie, l’entreprise devra l’entretien et la maintenance du matériel.</w:t>
      </w:r>
    </w:p>
    <w:p w:rsidR="0045445D" w:rsidRPr="00E57C48" w:rsidRDefault="0045445D" w:rsidP="0045445D">
      <w:pPr>
        <w:rPr>
          <w:rFonts w:ascii="Calibri" w:hAnsi="Calibri" w:cs="Arial"/>
          <w:color w:val="000000"/>
        </w:rPr>
      </w:pPr>
    </w:p>
    <w:p w:rsidR="0045445D" w:rsidRPr="00AC266B" w:rsidRDefault="0045445D" w:rsidP="0045445D">
      <w:pPr>
        <w:pStyle w:val="Paragraphedeliste"/>
        <w:numPr>
          <w:ilvl w:val="1"/>
          <w:numId w:val="2"/>
        </w:numPr>
        <w:rPr>
          <w:rFonts w:ascii="Calibri" w:hAnsi="Calibri"/>
        </w:rPr>
      </w:pPr>
      <w:r w:rsidRPr="00AC266B">
        <w:rPr>
          <w:rFonts w:ascii="Calibri" w:hAnsi="Calibri"/>
        </w:rPr>
        <w:t xml:space="preserve">- </w:t>
      </w:r>
      <w:r w:rsidRPr="00BD7CCC">
        <w:rPr>
          <w:rFonts w:ascii="Calibri" w:hAnsi="Calibri"/>
          <w:b/>
        </w:rPr>
        <w:t>SECURITE DES PERSONNES</w:t>
      </w:r>
    </w:p>
    <w:p w:rsidR="0045445D" w:rsidRPr="00AC266B" w:rsidRDefault="0045445D" w:rsidP="0045445D">
      <w:pPr>
        <w:rPr>
          <w:rFonts w:ascii="Calibri" w:hAnsi="Calibri"/>
        </w:rPr>
      </w:pPr>
    </w:p>
    <w:p w:rsidR="0045445D" w:rsidRPr="00E57C48" w:rsidRDefault="0045445D" w:rsidP="0045445D">
      <w:pPr>
        <w:rPr>
          <w:rFonts w:ascii="Calibri" w:hAnsi="Calibri"/>
        </w:rPr>
      </w:pPr>
      <w:r w:rsidRPr="00E57C48">
        <w:rPr>
          <w:rFonts w:ascii="Calibri" w:hAnsi="Calibri"/>
        </w:rPr>
        <w:t xml:space="preserve">Toutes </w:t>
      </w:r>
      <w:r>
        <w:rPr>
          <w:rFonts w:ascii="Calibri" w:hAnsi="Calibri"/>
        </w:rPr>
        <w:t xml:space="preserve">les </w:t>
      </w:r>
      <w:r w:rsidRPr="00E57C48">
        <w:rPr>
          <w:rFonts w:ascii="Calibri" w:hAnsi="Calibri"/>
        </w:rPr>
        <w:t>dispositions devront être prises pour assurer la protection et la sécurité des personnes</w:t>
      </w:r>
      <w:r>
        <w:rPr>
          <w:rFonts w:ascii="Calibri" w:hAnsi="Calibri"/>
        </w:rPr>
        <w:t>,</w:t>
      </w:r>
      <w:r w:rsidRPr="00E57C48">
        <w:rPr>
          <w:rFonts w:ascii="Calibri" w:hAnsi="Calibri"/>
        </w:rPr>
        <w:t xml:space="preserve"> ayant à circuler aux abords du chantier</w:t>
      </w:r>
      <w:r>
        <w:rPr>
          <w:rFonts w:ascii="Calibri" w:hAnsi="Calibri"/>
        </w:rPr>
        <w:t>,</w:t>
      </w:r>
      <w:r w:rsidRPr="00E57C48">
        <w:rPr>
          <w:rFonts w:ascii="Calibri" w:hAnsi="Calibri"/>
        </w:rPr>
        <w:t xml:space="preserve"> par des dispositifs de protection de type barrière ou autre</w:t>
      </w:r>
      <w:r>
        <w:rPr>
          <w:rFonts w:ascii="Calibri" w:hAnsi="Calibri"/>
        </w:rPr>
        <w:t>s</w:t>
      </w:r>
      <w:r w:rsidRPr="00E57C48">
        <w:rPr>
          <w:rFonts w:ascii="Calibri" w:hAnsi="Calibri"/>
        </w:rPr>
        <w:t>.</w:t>
      </w:r>
    </w:p>
    <w:p w:rsidR="0045445D" w:rsidRPr="00834A8F" w:rsidRDefault="0045445D" w:rsidP="0045445D">
      <w:pPr>
        <w:widowControl w:val="0"/>
        <w:tabs>
          <w:tab w:val="left" w:pos="600"/>
        </w:tabs>
        <w:jc w:val="both"/>
        <w:rPr>
          <w:rFonts w:ascii="Calibri" w:hAnsi="Calibri" w:cs="Arial"/>
        </w:rPr>
      </w:pPr>
    </w:p>
    <w:p w:rsidR="0045445D" w:rsidRPr="00BD7CCC" w:rsidRDefault="0045445D" w:rsidP="0045445D">
      <w:pPr>
        <w:pStyle w:val="Paragraphedeliste"/>
        <w:numPr>
          <w:ilvl w:val="1"/>
          <w:numId w:val="2"/>
        </w:numPr>
        <w:rPr>
          <w:rFonts w:ascii="Calibri" w:hAnsi="Calibri"/>
          <w:b/>
        </w:rPr>
      </w:pPr>
      <w:r w:rsidRPr="00AC266B">
        <w:rPr>
          <w:rFonts w:ascii="Calibri" w:hAnsi="Calibri"/>
        </w:rPr>
        <w:t xml:space="preserve">- </w:t>
      </w:r>
      <w:r w:rsidRPr="00BD7CCC">
        <w:rPr>
          <w:rFonts w:ascii="Calibri" w:hAnsi="Calibri"/>
          <w:b/>
        </w:rPr>
        <w:t>PROTECTION DES OUVRAGES</w:t>
      </w:r>
    </w:p>
    <w:p w:rsidR="0045445D" w:rsidRPr="00BD7CCC" w:rsidRDefault="0045445D" w:rsidP="0045445D">
      <w:pPr>
        <w:rPr>
          <w:rFonts w:ascii="Calibri" w:hAnsi="Calibri"/>
          <w:b/>
        </w:rPr>
      </w:pPr>
    </w:p>
    <w:p w:rsidR="0045445D" w:rsidRPr="008E2B5D" w:rsidRDefault="0045445D" w:rsidP="0045445D">
      <w:pPr>
        <w:rPr>
          <w:rFonts w:ascii="Calibri" w:hAnsi="Calibri"/>
        </w:rPr>
      </w:pPr>
      <w:r w:rsidRPr="008E2B5D">
        <w:rPr>
          <w:rFonts w:ascii="Calibri" w:hAnsi="Calibri"/>
        </w:rPr>
        <w:t xml:space="preserve">L’entreprise sera responsable de ses ouvrages jusqu’à la réception des travaux. Elle prendra toutes les dispositions </w:t>
      </w:r>
      <w:r>
        <w:rPr>
          <w:rFonts w:ascii="Calibri" w:hAnsi="Calibri"/>
        </w:rPr>
        <w:t xml:space="preserve">nécessaires </w:t>
      </w:r>
      <w:r w:rsidRPr="008E2B5D">
        <w:rPr>
          <w:rFonts w:ascii="Calibri" w:hAnsi="Calibri"/>
        </w:rPr>
        <w:t>pour assurer leur protection de manière efficace et durable.</w:t>
      </w:r>
    </w:p>
    <w:p w:rsidR="0045445D" w:rsidRPr="00BD7CCC" w:rsidRDefault="0045445D" w:rsidP="0045445D">
      <w:pPr>
        <w:ind w:right="-567"/>
        <w:rPr>
          <w:rFonts w:ascii="Calibri" w:hAnsi="Calibri" w:cs="Arial"/>
          <w:b/>
        </w:rPr>
      </w:pPr>
    </w:p>
    <w:p w:rsidR="0045445D" w:rsidRPr="00BD7CCC" w:rsidRDefault="0045445D" w:rsidP="0045445D">
      <w:pPr>
        <w:pStyle w:val="Paragraphedeliste"/>
        <w:numPr>
          <w:ilvl w:val="1"/>
          <w:numId w:val="2"/>
        </w:numPr>
        <w:ind w:right="-567"/>
        <w:rPr>
          <w:rFonts w:ascii="Calibri" w:hAnsi="Calibri" w:cs="Arial"/>
          <w:b/>
        </w:rPr>
      </w:pPr>
      <w:r w:rsidRPr="00BD7CCC">
        <w:rPr>
          <w:rFonts w:ascii="Calibri" w:hAnsi="Calibri" w:cs="Arial"/>
          <w:b/>
        </w:rPr>
        <w:t>- NUISANCE SONORE</w:t>
      </w:r>
    </w:p>
    <w:p w:rsidR="0045445D" w:rsidRPr="00AC266B" w:rsidRDefault="0045445D" w:rsidP="0045445D">
      <w:pPr>
        <w:ind w:right="-567"/>
        <w:rPr>
          <w:rFonts w:ascii="Calibri" w:hAnsi="Calibri" w:cs="Arial"/>
        </w:rPr>
      </w:pPr>
    </w:p>
    <w:p w:rsidR="0045445D" w:rsidRPr="00834A8F" w:rsidRDefault="0045445D" w:rsidP="0045445D">
      <w:pPr>
        <w:ind w:right="-828"/>
        <w:rPr>
          <w:rFonts w:ascii="Calibri" w:hAnsi="Calibri" w:cs="Arial"/>
        </w:rPr>
      </w:pPr>
      <w:r w:rsidRPr="00834A8F">
        <w:rPr>
          <w:rFonts w:ascii="Calibri" w:hAnsi="Calibri" w:cs="Arial"/>
        </w:rPr>
        <w:t xml:space="preserve">Le niveau de bruit </w:t>
      </w:r>
      <w:proofErr w:type="spellStart"/>
      <w:r w:rsidRPr="00834A8F">
        <w:rPr>
          <w:rFonts w:ascii="Calibri" w:hAnsi="Calibri" w:cs="Arial"/>
        </w:rPr>
        <w:t>LnaT</w:t>
      </w:r>
      <w:proofErr w:type="spellEnd"/>
      <w:r w:rsidRPr="00834A8F">
        <w:rPr>
          <w:rFonts w:ascii="Calibri" w:hAnsi="Calibri" w:cs="Arial"/>
        </w:rPr>
        <w:t xml:space="preserve"> reçu dans les logements en provenance de la porte automatique collective ne dépassera pas 30dB(A) en pièces principales et 35dB(A) en cuisines fermées. L’entreprise s’engage à exécuter les réglages nécessaires au fonctionnement silencieux de l’installation</w:t>
      </w:r>
      <w:r>
        <w:rPr>
          <w:rFonts w:ascii="Calibri" w:hAnsi="Calibri" w:cs="Arial"/>
        </w:rPr>
        <w:t>,</w:t>
      </w:r>
      <w:r w:rsidRPr="00834A8F">
        <w:rPr>
          <w:rFonts w:ascii="Calibri" w:hAnsi="Calibri" w:cs="Arial"/>
        </w:rPr>
        <w:t xml:space="preserve"> et à poser un kit antibruit si nécessaire.</w:t>
      </w:r>
    </w:p>
    <w:p w:rsidR="0045445D" w:rsidRDefault="0045445D" w:rsidP="0045445D">
      <w:pPr>
        <w:ind w:right="-567"/>
        <w:rPr>
          <w:rFonts w:asciiTheme="minorHAnsi" w:hAnsiTheme="minorHAnsi" w:cs="Arial"/>
        </w:rPr>
      </w:pPr>
    </w:p>
    <w:p w:rsidR="0045445D" w:rsidRPr="00BD7CCC" w:rsidRDefault="0045445D" w:rsidP="0045445D">
      <w:pPr>
        <w:ind w:right="-567"/>
        <w:rPr>
          <w:rFonts w:asciiTheme="minorHAnsi" w:hAnsiTheme="minorHAnsi" w:cs="Arial"/>
          <w:b/>
        </w:rPr>
      </w:pPr>
      <w:r w:rsidRPr="00BD7CCC">
        <w:rPr>
          <w:rFonts w:asciiTheme="minorHAnsi" w:hAnsiTheme="minorHAnsi" w:cs="Arial"/>
          <w:b/>
        </w:rPr>
        <w:t>2 - DESCRIPTIONS TECHNIQUES PARTICULIERES</w:t>
      </w:r>
    </w:p>
    <w:p w:rsidR="0045445D" w:rsidRPr="00814FCF" w:rsidRDefault="0045445D" w:rsidP="0045445D">
      <w:pPr>
        <w:ind w:right="-567"/>
        <w:rPr>
          <w:rFonts w:asciiTheme="minorHAnsi" w:hAnsiTheme="minorHAnsi" w:cs="Arial"/>
        </w:rPr>
      </w:pPr>
    </w:p>
    <w:p w:rsidR="0045445D" w:rsidRPr="00BD7CCC" w:rsidRDefault="0045445D" w:rsidP="0045445D">
      <w:pPr>
        <w:ind w:right="-567"/>
        <w:rPr>
          <w:rFonts w:asciiTheme="minorHAnsi" w:hAnsiTheme="minorHAnsi" w:cs="Arial"/>
          <w:b/>
        </w:rPr>
      </w:pPr>
      <w:r w:rsidRPr="00BD7CCC">
        <w:rPr>
          <w:rFonts w:asciiTheme="minorHAnsi" w:hAnsiTheme="minorHAnsi" w:cs="Arial"/>
          <w:b/>
        </w:rPr>
        <w:t>2.1 - DOCUMENTS TECHNIQUES PARTICULIERS</w:t>
      </w:r>
    </w:p>
    <w:p w:rsidR="0045445D" w:rsidRPr="00814FCF" w:rsidRDefault="0045445D" w:rsidP="0045445D">
      <w:pPr>
        <w:ind w:right="-567"/>
        <w:rPr>
          <w:rFonts w:asciiTheme="minorHAnsi" w:hAnsiTheme="minorHAnsi" w:cs="Arial"/>
        </w:rPr>
      </w:pPr>
    </w:p>
    <w:p w:rsidR="0045445D" w:rsidRDefault="0045445D" w:rsidP="0045445D">
      <w:pPr>
        <w:ind w:right="-828"/>
        <w:rPr>
          <w:rFonts w:asciiTheme="minorHAnsi" w:hAnsiTheme="minorHAnsi"/>
        </w:rPr>
      </w:pPr>
      <w:r w:rsidRPr="00814FCF">
        <w:rPr>
          <w:rFonts w:asciiTheme="minorHAnsi" w:hAnsiTheme="minorHAnsi" w:cs="Arial"/>
        </w:rPr>
        <w:t>L’installation devra être en tous points</w:t>
      </w:r>
      <w:r>
        <w:rPr>
          <w:rFonts w:asciiTheme="minorHAnsi" w:hAnsiTheme="minorHAnsi" w:cs="Arial"/>
        </w:rPr>
        <w:t>,</w:t>
      </w:r>
      <w:r w:rsidRPr="00814FCF">
        <w:rPr>
          <w:rFonts w:asciiTheme="minorHAnsi" w:hAnsiTheme="minorHAnsi" w:cs="Arial"/>
        </w:rPr>
        <w:t xml:space="preserve"> conforme aux dernières normes, décrets, circulaires, régissant la mise en œuvre et la sécurité des portes à usage collectif</w:t>
      </w:r>
      <w:r w:rsidRPr="006012FC">
        <w:rPr>
          <w:rFonts w:asciiTheme="minorHAnsi" w:hAnsiTheme="minorHAnsi" w:cs="Arial"/>
        </w:rPr>
        <w:t>.</w:t>
      </w:r>
      <w:r w:rsidRPr="006012F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6012FC">
        <w:rPr>
          <w:rFonts w:asciiTheme="minorHAnsi" w:hAnsiTheme="minorHAnsi"/>
        </w:rPr>
        <w:t>Un essai initial devra être réalisé afin de répondre à l'évaluation de conformité pour le marquage CE. L'ensemble des documents (plans, schémas, DOE) établis par un orga</w:t>
      </w:r>
      <w:r>
        <w:rPr>
          <w:rFonts w:asciiTheme="minorHAnsi" w:hAnsiTheme="minorHAnsi"/>
        </w:rPr>
        <w:t xml:space="preserve">nisme notifié (CSTB, CETIM, </w:t>
      </w:r>
      <w:r w:rsidRPr="006012FC">
        <w:rPr>
          <w:rFonts w:asciiTheme="minorHAnsi" w:hAnsiTheme="minorHAnsi"/>
        </w:rPr>
        <w:t>...), devra éga</w:t>
      </w:r>
      <w:r>
        <w:rPr>
          <w:rFonts w:asciiTheme="minorHAnsi" w:hAnsiTheme="minorHAnsi"/>
        </w:rPr>
        <w:t>lement être transmis au bureau de</w:t>
      </w:r>
      <w:r w:rsidRPr="006012FC">
        <w:rPr>
          <w:rFonts w:asciiTheme="minorHAnsi" w:hAnsiTheme="minorHAnsi"/>
        </w:rPr>
        <w:t xml:space="preserve"> contrôle. L'attestation de conformité sera à joindre au D.O.E. </w:t>
      </w:r>
    </w:p>
    <w:p w:rsidR="0045445D" w:rsidRPr="006012FC" w:rsidRDefault="0045445D" w:rsidP="0045445D">
      <w:pPr>
        <w:ind w:right="-82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L’entreprise</w:t>
      </w:r>
      <w:r w:rsidRPr="00814FCF">
        <w:rPr>
          <w:rFonts w:asciiTheme="minorHAnsi" w:hAnsiTheme="minorHAnsi" w:cs="Arial"/>
        </w:rPr>
        <w:t xml:space="preserve"> devra veiller à la conformité locale de la classe au vent.</w:t>
      </w:r>
    </w:p>
    <w:p w:rsidR="0045445D" w:rsidRDefault="0045445D" w:rsidP="0045445D">
      <w:pPr>
        <w:ind w:right="-567"/>
        <w:rPr>
          <w:rFonts w:asciiTheme="minorHAnsi" w:hAnsiTheme="minorHAnsi" w:cs="Arial"/>
        </w:rPr>
      </w:pPr>
    </w:p>
    <w:p w:rsidR="0045445D" w:rsidRPr="00814FCF" w:rsidRDefault="0045445D" w:rsidP="0045445D">
      <w:pPr>
        <w:ind w:right="-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Matériel :</w:t>
      </w:r>
    </w:p>
    <w:p w:rsidR="0045445D" w:rsidRPr="00814FCF" w:rsidRDefault="0045445D" w:rsidP="0045445D">
      <w:pPr>
        <w:ind w:right="-567"/>
        <w:rPr>
          <w:rFonts w:asciiTheme="minorHAnsi" w:hAnsiTheme="minorHAnsi" w:cs="Arial"/>
        </w:rPr>
      </w:pPr>
      <w:r w:rsidRPr="00814FCF">
        <w:rPr>
          <w:rFonts w:asciiTheme="minorHAnsi" w:hAnsiTheme="minorHAnsi" w:cs="Arial"/>
        </w:rPr>
        <w:t xml:space="preserve">Porte automatique de parking collectif : référence </w:t>
      </w:r>
      <w:r w:rsidRPr="00814FCF">
        <w:rPr>
          <w:rFonts w:asciiTheme="minorHAnsi" w:hAnsiTheme="minorHAnsi" w:cs="Arial"/>
          <w:b/>
        </w:rPr>
        <w:t xml:space="preserve">SAFIR </w:t>
      </w:r>
      <w:r>
        <w:rPr>
          <w:rFonts w:asciiTheme="minorHAnsi" w:hAnsiTheme="minorHAnsi" w:cs="Arial"/>
          <w:b/>
        </w:rPr>
        <w:t>W7</w:t>
      </w:r>
      <w:r w:rsidRPr="00814FCF">
        <w:rPr>
          <w:rFonts w:asciiTheme="minorHAnsi" w:hAnsiTheme="minorHAnsi" w:cs="Arial"/>
          <w:b/>
        </w:rPr>
        <w:t>24</w:t>
      </w:r>
      <w:r w:rsidRPr="00814FCF">
        <w:rPr>
          <w:rFonts w:asciiTheme="minorHAnsi" w:hAnsiTheme="minorHAnsi" w:cs="Arial"/>
        </w:rPr>
        <w:t>, conforme à la norme NF EN 13241-1, des établissements SAFIR ou équivalent.</w:t>
      </w:r>
    </w:p>
    <w:p w:rsidR="0045445D" w:rsidRPr="00814FCF" w:rsidRDefault="0045445D" w:rsidP="0045445D">
      <w:pPr>
        <w:ind w:right="-828"/>
        <w:outlineLvl w:val="0"/>
        <w:rPr>
          <w:rFonts w:asciiTheme="minorHAnsi" w:hAnsiTheme="minorHAnsi" w:cs="Arial"/>
          <w:u w:val="single"/>
        </w:rPr>
      </w:pPr>
    </w:p>
    <w:p w:rsidR="0045445D" w:rsidRPr="00BD7CCC" w:rsidRDefault="0045445D" w:rsidP="0045445D">
      <w:pPr>
        <w:ind w:right="-828"/>
        <w:outlineLvl w:val="0"/>
        <w:rPr>
          <w:rFonts w:asciiTheme="minorHAnsi" w:hAnsiTheme="minorHAnsi" w:cs="Arial"/>
          <w:b/>
        </w:rPr>
      </w:pPr>
      <w:r w:rsidRPr="00BD7CCC">
        <w:rPr>
          <w:rFonts w:asciiTheme="minorHAnsi" w:hAnsiTheme="minorHAnsi" w:cs="Arial"/>
          <w:b/>
        </w:rPr>
        <w:t>2.2 - PORTE AUTOMATIQUE DE PARKING</w:t>
      </w:r>
    </w:p>
    <w:p w:rsidR="0045445D" w:rsidRDefault="0045445D" w:rsidP="0045445D">
      <w:pPr>
        <w:ind w:right="-828"/>
        <w:outlineLvl w:val="0"/>
        <w:rPr>
          <w:rFonts w:asciiTheme="minorHAnsi" w:hAnsiTheme="minorHAnsi" w:cs="Arial"/>
          <w:b/>
        </w:rPr>
      </w:pPr>
    </w:p>
    <w:p w:rsidR="0045445D" w:rsidRDefault="0045445D" w:rsidP="0045445D">
      <w:pPr>
        <w:ind w:right="-828"/>
        <w:outlineLvl w:val="0"/>
        <w:rPr>
          <w:rFonts w:asciiTheme="minorHAnsi" w:hAnsiTheme="minorHAnsi" w:cs="Arial"/>
        </w:rPr>
      </w:pPr>
      <w:r w:rsidRPr="00814FCF">
        <w:rPr>
          <w:rFonts w:asciiTheme="minorHAnsi" w:hAnsiTheme="minorHAnsi" w:cs="Arial"/>
          <w:b/>
        </w:rPr>
        <w:t xml:space="preserve">Type de porte : </w:t>
      </w:r>
      <w:r>
        <w:rPr>
          <w:rFonts w:asciiTheme="minorHAnsi" w:hAnsiTheme="minorHAnsi" w:cs="Arial"/>
          <w:b/>
        </w:rPr>
        <w:br/>
      </w:r>
      <w:r>
        <w:rPr>
          <w:rFonts w:asciiTheme="minorHAnsi" w:hAnsiTheme="minorHAnsi" w:cs="Arial"/>
        </w:rPr>
        <w:t>P</w:t>
      </w:r>
      <w:r w:rsidRPr="00814FCF">
        <w:rPr>
          <w:rFonts w:asciiTheme="minorHAnsi" w:hAnsiTheme="minorHAnsi" w:cs="Arial"/>
        </w:rPr>
        <w:t>orte</w:t>
      </w:r>
      <w:r>
        <w:rPr>
          <w:rFonts w:asciiTheme="minorHAnsi" w:hAnsiTheme="minorHAnsi" w:cs="Arial"/>
        </w:rPr>
        <w:t xml:space="preserve"> pliante dite accordéon 2, 3 ou 4 vantaux</w:t>
      </w:r>
      <w:r w:rsidRPr="00814FCF">
        <w:rPr>
          <w:rFonts w:asciiTheme="minorHAnsi" w:hAnsiTheme="minorHAnsi" w:cs="Arial"/>
        </w:rPr>
        <w:t>, non débordante, pour usage intensif (1000 cycles par jour).</w:t>
      </w:r>
    </w:p>
    <w:p w:rsidR="0045445D" w:rsidRDefault="0045445D" w:rsidP="0045445D">
      <w:pPr>
        <w:ind w:right="-828"/>
        <w:outlineLvl w:val="0"/>
        <w:rPr>
          <w:rFonts w:asciiTheme="minorHAnsi" w:hAnsiTheme="minorHAnsi" w:cs="Arial"/>
        </w:rPr>
      </w:pPr>
      <w:r w:rsidRPr="00814FCF">
        <w:rPr>
          <w:rFonts w:asciiTheme="minorHAnsi" w:hAnsiTheme="minorHAnsi" w:cs="Arial"/>
        </w:rPr>
        <w:br/>
      </w:r>
      <w:r w:rsidRPr="00814FCF">
        <w:rPr>
          <w:rFonts w:asciiTheme="minorHAnsi" w:hAnsiTheme="minorHAnsi" w:cs="Arial"/>
          <w:b/>
        </w:rPr>
        <w:t xml:space="preserve">Tablier : </w:t>
      </w:r>
      <w:r>
        <w:rPr>
          <w:rFonts w:asciiTheme="minorHAnsi" w:hAnsiTheme="minorHAnsi" w:cs="Arial"/>
          <w:b/>
        </w:rPr>
        <w:br/>
      </w:r>
      <w:r>
        <w:rPr>
          <w:rFonts w:asciiTheme="minorHAnsi" w:hAnsiTheme="minorHAnsi" w:cs="Arial"/>
        </w:rPr>
        <w:t>C</w:t>
      </w:r>
      <w:r w:rsidRPr="00814FCF">
        <w:rPr>
          <w:rFonts w:asciiTheme="minorHAnsi" w:hAnsiTheme="minorHAnsi" w:cs="Arial"/>
        </w:rPr>
        <w:t xml:space="preserve">adre en </w:t>
      </w:r>
      <w:r w:rsidRPr="0011481C">
        <w:rPr>
          <w:rFonts w:asciiTheme="minorHAnsi" w:hAnsiTheme="minorHAnsi" w:cs="Arial"/>
        </w:rPr>
        <w:t>profil aluminium</w:t>
      </w:r>
      <w:r w:rsidRPr="00814FCF">
        <w:rPr>
          <w:rFonts w:asciiTheme="minorHAnsi" w:hAnsiTheme="minorHAnsi" w:cs="Arial"/>
        </w:rPr>
        <w:t xml:space="preserve"> 80 x 55 mm</w:t>
      </w:r>
    </w:p>
    <w:p w:rsidR="009B3111" w:rsidRDefault="009B3111" w:rsidP="0045445D">
      <w:pPr>
        <w:ind w:right="-828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Traverse intermédiaire 80 x 44 mm</w:t>
      </w:r>
    </w:p>
    <w:p w:rsidR="0045445D" w:rsidRPr="00814FCF" w:rsidRDefault="0045445D" w:rsidP="0045445D">
      <w:pPr>
        <w:ind w:right="-828"/>
        <w:outlineLvl w:val="0"/>
        <w:rPr>
          <w:rFonts w:asciiTheme="minorHAnsi" w:hAnsiTheme="minorHAnsi" w:cs="Arial"/>
        </w:rPr>
      </w:pPr>
    </w:p>
    <w:p w:rsidR="0045445D" w:rsidRDefault="0045445D" w:rsidP="0045445D">
      <w:pPr>
        <w:ind w:right="-828"/>
        <w:rPr>
          <w:rFonts w:asciiTheme="minorHAnsi" w:hAnsiTheme="minorHAnsi" w:cs="Arial"/>
        </w:rPr>
      </w:pPr>
      <w:r w:rsidRPr="00814FCF">
        <w:rPr>
          <w:rFonts w:asciiTheme="minorHAnsi" w:hAnsiTheme="minorHAnsi" w:cs="Arial"/>
          <w:b/>
        </w:rPr>
        <w:lastRenderedPageBreak/>
        <w:t>Habillage :</w:t>
      </w:r>
    </w:p>
    <w:p w:rsidR="0045445D" w:rsidRPr="00814FCF" w:rsidRDefault="0045445D" w:rsidP="0045445D">
      <w:pPr>
        <w:ind w:right="-82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</w:t>
      </w:r>
      <w:r w:rsidRPr="00814FCF">
        <w:rPr>
          <w:rFonts w:asciiTheme="minorHAnsi" w:hAnsiTheme="minorHAnsi" w:cs="Arial"/>
        </w:rPr>
        <w:t>ardage simple peau ép. 65/100</w:t>
      </w:r>
      <w:r w:rsidRPr="00814FCF">
        <w:rPr>
          <w:rFonts w:asciiTheme="minorHAnsi" w:hAnsiTheme="minorHAnsi" w:cs="Arial"/>
          <w:vertAlign w:val="superscript"/>
        </w:rPr>
        <w:t>ème</w:t>
      </w:r>
      <w:r w:rsidRPr="00814FCF">
        <w:rPr>
          <w:rFonts w:asciiTheme="minorHAnsi" w:hAnsiTheme="minorHAnsi" w:cs="Arial"/>
        </w:rPr>
        <w:t>, à nervures verticales, RAL 9016 en standard, assemblé par vis auto-foreuses.</w:t>
      </w:r>
    </w:p>
    <w:p w:rsidR="0045445D" w:rsidRPr="00814FCF" w:rsidRDefault="0045445D" w:rsidP="0045445D">
      <w:pPr>
        <w:ind w:right="-828"/>
        <w:rPr>
          <w:rFonts w:asciiTheme="minorHAnsi" w:hAnsiTheme="minorHAnsi" w:cs="Arial"/>
        </w:rPr>
      </w:pPr>
      <w:r w:rsidRPr="00814FCF">
        <w:rPr>
          <w:rFonts w:asciiTheme="minorHAnsi" w:hAnsiTheme="minorHAnsi" w:cs="Arial"/>
        </w:rPr>
        <w:t>Variantes habillage :</w:t>
      </w:r>
    </w:p>
    <w:p w:rsidR="0045445D" w:rsidRPr="00814FCF" w:rsidRDefault="0045445D" w:rsidP="0045445D">
      <w:pPr>
        <w:pStyle w:val="Paragraphedeliste"/>
        <w:numPr>
          <w:ilvl w:val="0"/>
          <w:numId w:val="1"/>
        </w:numPr>
        <w:ind w:right="-828"/>
        <w:rPr>
          <w:rFonts w:asciiTheme="minorHAnsi" w:hAnsiTheme="minorHAnsi" w:cs="Arial"/>
        </w:rPr>
      </w:pPr>
      <w:r w:rsidRPr="00814FCF">
        <w:rPr>
          <w:rFonts w:asciiTheme="minorHAnsi" w:hAnsiTheme="minorHAnsi" w:cs="Arial"/>
        </w:rPr>
        <w:t>Tôle lisse, tôle cassette</w:t>
      </w:r>
      <w:r>
        <w:rPr>
          <w:rFonts w:asciiTheme="minorHAnsi" w:hAnsiTheme="minorHAnsi" w:cs="Arial"/>
        </w:rPr>
        <w:t xml:space="preserve"> ou autres</w:t>
      </w:r>
      <w:r w:rsidRPr="00814FCF">
        <w:rPr>
          <w:rFonts w:asciiTheme="minorHAnsi" w:hAnsiTheme="minorHAnsi" w:cs="Arial"/>
        </w:rPr>
        <w:t xml:space="preserve"> en fonction des besoins</w:t>
      </w:r>
      <w:r>
        <w:rPr>
          <w:rFonts w:asciiTheme="minorHAnsi" w:hAnsiTheme="minorHAnsi" w:cs="Arial"/>
        </w:rPr>
        <w:t xml:space="preserve"> et des impératifs,</w:t>
      </w:r>
    </w:p>
    <w:p w:rsidR="0045445D" w:rsidRDefault="0045445D" w:rsidP="0045445D">
      <w:pPr>
        <w:pStyle w:val="Paragraphedeliste"/>
        <w:numPr>
          <w:ilvl w:val="0"/>
          <w:numId w:val="1"/>
        </w:numPr>
        <w:ind w:right="-828"/>
        <w:rPr>
          <w:rFonts w:asciiTheme="minorHAnsi" w:hAnsiTheme="minorHAnsi" w:cs="Arial"/>
        </w:rPr>
      </w:pPr>
      <w:r w:rsidRPr="00814FCF">
        <w:rPr>
          <w:rFonts w:asciiTheme="minorHAnsi" w:hAnsiTheme="minorHAnsi" w:cs="Arial"/>
        </w:rPr>
        <w:t>Ventilation haute, basse ou totale par perf</w:t>
      </w:r>
      <w:r>
        <w:rPr>
          <w:rFonts w:asciiTheme="minorHAnsi" w:hAnsiTheme="minorHAnsi" w:cs="Arial"/>
        </w:rPr>
        <w:t>orations, barreaudage</w:t>
      </w:r>
      <w:r w:rsidR="009B3111">
        <w:rPr>
          <w:rFonts w:asciiTheme="minorHAnsi" w:hAnsiTheme="minorHAnsi" w:cs="Arial"/>
        </w:rPr>
        <w:t xml:space="preserve"> (carré, rond, losange)</w:t>
      </w:r>
      <w:r>
        <w:rPr>
          <w:rFonts w:asciiTheme="minorHAnsi" w:hAnsiTheme="minorHAnsi" w:cs="Arial"/>
        </w:rPr>
        <w:t>,</w:t>
      </w:r>
      <w:r w:rsidRPr="00814FCF">
        <w:rPr>
          <w:rFonts w:asciiTheme="minorHAnsi" w:hAnsiTheme="minorHAnsi" w:cs="Arial"/>
        </w:rPr>
        <w:t xml:space="preserve"> treillis mailles soudées</w:t>
      </w:r>
      <w:r>
        <w:rPr>
          <w:rFonts w:asciiTheme="minorHAnsi" w:hAnsiTheme="minorHAnsi" w:cs="Arial"/>
        </w:rPr>
        <w:t>, ou autres,</w:t>
      </w:r>
      <w:r w:rsidRPr="00814FCF">
        <w:rPr>
          <w:rFonts w:asciiTheme="minorHAnsi" w:hAnsiTheme="minorHAnsi" w:cs="Arial"/>
        </w:rPr>
        <w:t xml:space="preserve"> en fonction du nombre de véhicules et de l’esthétique recherché</w:t>
      </w:r>
      <w:r>
        <w:rPr>
          <w:rFonts w:asciiTheme="minorHAnsi" w:hAnsiTheme="minorHAnsi" w:cs="Arial"/>
        </w:rPr>
        <w:t>,</w:t>
      </w:r>
    </w:p>
    <w:p w:rsidR="0045445D" w:rsidRDefault="0045445D" w:rsidP="0045445D">
      <w:pPr>
        <w:pStyle w:val="Paragraphedeliste"/>
        <w:numPr>
          <w:ilvl w:val="0"/>
          <w:numId w:val="1"/>
        </w:numPr>
        <w:ind w:right="-82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200 couleurs RAL au choix. Au choix : une face (face extérieure), deux faces, faces extérieures poteaux et linteau.</w:t>
      </w:r>
    </w:p>
    <w:p w:rsidR="0045445D" w:rsidRPr="00814FCF" w:rsidRDefault="0045445D" w:rsidP="0045445D">
      <w:pPr>
        <w:pStyle w:val="Paragraphedeliste"/>
        <w:ind w:right="-828"/>
        <w:rPr>
          <w:rFonts w:asciiTheme="minorHAnsi" w:hAnsiTheme="minorHAnsi" w:cs="Arial"/>
        </w:rPr>
      </w:pPr>
    </w:p>
    <w:p w:rsidR="0045445D" w:rsidRDefault="0045445D" w:rsidP="0045445D">
      <w:pPr>
        <w:ind w:right="-828"/>
        <w:outlineLvl w:val="0"/>
        <w:rPr>
          <w:rFonts w:asciiTheme="minorHAnsi" w:hAnsiTheme="minorHAnsi" w:cs="Arial"/>
          <w:b/>
        </w:rPr>
      </w:pPr>
      <w:r w:rsidRPr="00814FCF">
        <w:rPr>
          <w:rFonts w:asciiTheme="minorHAnsi" w:hAnsiTheme="minorHAnsi" w:cs="Arial"/>
          <w:b/>
        </w:rPr>
        <w:t>Guidage : </w:t>
      </w:r>
    </w:p>
    <w:p w:rsidR="0045445D" w:rsidRDefault="009B3111" w:rsidP="0045445D">
      <w:pPr>
        <w:ind w:right="-828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Linteau profilé en aluminium extrudé haute résistance et boogies avec roulettes polyamides équipées de roulements étanches.</w:t>
      </w:r>
    </w:p>
    <w:p w:rsidR="009B3111" w:rsidRDefault="009B3111" w:rsidP="0045445D">
      <w:pPr>
        <w:ind w:right="-828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Sabots d’accostage de fin de fermeture en aluminium</w:t>
      </w:r>
    </w:p>
    <w:p w:rsidR="0045445D" w:rsidRPr="00AC266B" w:rsidRDefault="0045445D" w:rsidP="0045445D">
      <w:pPr>
        <w:ind w:right="-828"/>
        <w:rPr>
          <w:rFonts w:asciiTheme="minorHAnsi" w:hAnsiTheme="minorHAnsi" w:cs="Arial"/>
        </w:rPr>
      </w:pPr>
    </w:p>
    <w:p w:rsidR="0045445D" w:rsidRDefault="0045445D" w:rsidP="0045445D">
      <w:pPr>
        <w:ind w:right="-828"/>
        <w:outlineLvl w:val="0"/>
        <w:rPr>
          <w:rFonts w:asciiTheme="minorHAnsi" w:hAnsiTheme="minorHAnsi" w:cs="Arial"/>
          <w:b/>
        </w:rPr>
      </w:pPr>
      <w:r w:rsidRPr="00AC266B">
        <w:rPr>
          <w:rFonts w:asciiTheme="minorHAnsi" w:hAnsiTheme="minorHAnsi" w:cs="Arial"/>
          <w:b/>
        </w:rPr>
        <w:t>Motorisation :</w:t>
      </w:r>
    </w:p>
    <w:p w:rsidR="0011481C" w:rsidRPr="0011481C" w:rsidRDefault="0011481C" w:rsidP="0011481C">
      <w:pPr>
        <w:ind w:right="-828"/>
        <w:rPr>
          <w:rFonts w:asciiTheme="minorHAnsi" w:hAnsiTheme="minorHAnsi" w:cstheme="minorHAnsi"/>
          <w:szCs w:val="20"/>
        </w:rPr>
      </w:pPr>
      <w:r w:rsidRPr="0011481C">
        <w:rPr>
          <w:rFonts w:asciiTheme="minorHAnsi" w:hAnsiTheme="minorHAnsi" w:cstheme="minorHAnsi"/>
          <w:szCs w:val="20"/>
        </w:rPr>
        <w:t>Coffret de commande déporté ou intégré dans un poteau technique</w:t>
      </w:r>
    </w:p>
    <w:p w:rsidR="009B3111" w:rsidRDefault="0045445D" w:rsidP="0045445D">
      <w:pPr>
        <w:ind w:right="-828"/>
        <w:rPr>
          <w:rFonts w:asciiTheme="minorHAnsi" w:hAnsiTheme="minorHAnsi" w:cs="Arial"/>
        </w:rPr>
      </w:pPr>
      <w:r w:rsidRPr="00814FCF">
        <w:rPr>
          <w:rFonts w:asciiTheme="minorHAnsi" w:hAnsiTheme="minorHAnsi" w:cs="Arial"/>
        </w:rPr>
        <w:t xml:space="preserve">Manœuvre par un ou deux moteurs, selon </w:t>
      </w:r>
      <w:r w:rsidR="009B3111">
        <w:rPr>
          <w:rFonts w:asciiTheme="minorHAnsi" w:hAnsiTheme="minorHAnsi" w:cs="Arial"/>
        </w:rPr>
        <w:t>le nombre de vantaux</w:t>
      </w:r>
      <w:r w:rsidRPr="00814FCF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de type </w:t>
      </w:r>
      <w:proofErr w:type="spellStart"/>
      <w:r w:rsidRPr="0011481C">
        <w:rPr>
          <w:rFonts w:asciiTheme="minorHAnsi" w:hAnsiTheme="minorHAnsi" w:cs="Arial"/>
        </w:rPr>
        <w:t>brushless</w:t>
      </w:r>
      <w:proofErr w:type="spellEnd"/>
      <w:r w:rsidRPr="0011481C">
        <w:rPr>
          <w:rFonts w:asciiTheme="minorHAnsi" w:hAnsiTheme="minorHAnsi" w:cs="Arial"/>
        </w:rPr>
        <w:t xml:space="preserve"> 24 </w:t>
      </w:r>
      <w:proofErr w:type="spellStart"/>
      <w:r w:rsidRPr="0011481C">
        <w:rPr>
          <w:rFonts w:asciiTheme="minorHAnsi" w:hAnsiTheme="minorHAnsi" w:cs="Arial"/>
        </w:rPr>
        <w:t>Vdc</w:t>
      </w:r>
      <w:proofErr w:type="spellEnd"/>
      <w:r>
        <w:rPr>
          <w:rFonts w:asciiTheme="minorHAnsi" w:hAnsiTheme="minorHAnsi" w:cs="Arial"/>
        </w:rPr>
        <w:t>. Ralentissements en fins d’ouverture et de fermeture pour un fonctionnement silencieux.</w:t>
      </w:r>
    </w:p>
    <w:p w:rsidR="0045445D" w:rsidRPr="00814FCF" w:rsidRDefault="009B3111" w:rsidP="0045445D">
      <w:pPr>
        <w:ind w:right="-828"/>
        <w:rPr>
          <w:rFonts w:asciiTheme="minorHAnsi" w:hAnsiTheme="minorHAnsi" w:cs="Arial"/>
        </w:rPr>
      </w:pPr>
      <w:r w:rsidRPr="009B3111">
        <w:rPr>
          <w:rFonts w:asciiTheme="minorHAnsi" w:hAnsiTheme="minorHAnsi" w:cs="Arial"/>
          <w:szCs w:val="20"/>
        </w:rPr>
        <w:t>Alimentation 220V monophasée 10 A. Puissance 250W.</w:t>
      </w:r>
      <w:r w:rsidR="0045445D">
        <w:rPr>
          <w:rFonts w:asciiTheme="minorHAnsi" w:hAnsiTheme="minorHAnsi" w:cs="Arial"/>
        </w:rPr>
        <w:br/>
      </w:r>
      <w:r w:rsidR="0045445D" w:rsidRPr="00814FCF">
        <w:rPr>
          <w:rFonts w:asciiTheme="minorHAnsi" w:hAnsiTheme="minorHAnsi" w:cs="Arial"/>
        </w:rPr>
        <w:t>Fréquence d’utilisation</w:t>
      </w:r>
      <w:r w:rsidR="0045445D">
        <w:rPr>
          <w:rFonts w:asciiTheme="minorHAnsi" w:hAnsiTheme="minorHAnsi" w:cs="Arial"/>
        </w:rPr>
        <w:t xml:space="preserve"> </w:t>
      </w:r>
      <w:r w:rsidR="0045445D" w:rsidRPr="00814FCF">
        <w:rPr>
          <w:rFonts w:asciiTheme="minorHAnsi" w:hAnsiTheme="minorHAnsi" w:cs="Arial"/>
        </w:rPr>
        <w:t>1000 cycles/jour.</w:t>
      </w:r>
    </w:p>
    <w:p w:rsidR="0045445D" w:rsidRPr="00814FCF" w:rsidRDefault="0045445D" w:rsidP="0045445D">
      <w:pPr>
        <w:ind w:right="-828"/>
        <w:outlineLvl w:val="0"/>
        <w:rPr>
          <w:rFonts w:asciiTheme="minorHAnsi" w:hAnsiTheme="minorHAnsi" w:cs="Arial"/>
        </w:rPr>
      </w:pPr>
      <w:r w:rsidRPr="00814FCF">
        <w:rPr>
          <w:rFonts w:asciiTheme="minorHAnsi" w:hAnsiTheme="minorHAnsi" w:cs="Arial"/>
        </w:rPr>
        <w:t>Manœuvre manuelle possible en cas de défaut de l’alimentation électrique.</w:t>
      </w:r>
    </w:p>
    <w:p w:rsidR="0045445D" w:rsidRPr="00814FCF" w:rsidRDefault="0045445D" w:rsidP="0045445D">
      <w:pPr>
        <w:ind w:right="-828"/>
        <w:outlineLvl w:val="0"/>
        <w:rPr>
          <w:rFonts w:asciiTheme="minorHAnsi" w:hAnsiTheme="minorHAnsi" w:cs="Arial"/>
          <w:u w:val="single"/>
        </w:rPr>
      </w:pPr>
    </w:p>
    <w:p w:rsidR="0045445D" w:rsidRDefault="0045445D" w:rsidP="0045445D">
      <w:pPr>
        <w:ind w:right="-828"/>
        <w:outlineLvl w:val="0"/>
        <w:rPr>
          <w:rFonts w:asciiTheme="minorHAnsi" w:hAnsiTheme="minorHAnsi" w:cs="Arial"/>
          <w:b/>
        </w:rPr>
      </w:pPr>
      <w:r w:rsidRPr="00801FF0">
        <w:rPr>
          <w:rFonts w:asciiTheme="minorHAnsi" w:hAnsiTheme="minorHAnsi" w:cs="Arial"/>
          <w:b/>
        </w:rPr>
        <w:t>Sécurité :</w:t>
      </w:r>
    </w:p>
    <w:p w:rsidR="0045445D" w:rsidRPr="00814FCF" w:rsidRDefault="0045445D" w:rsidP="0045445D">
      <w:pPr>
        <w:ind w:right="-82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Limitation électronique (mesure de courant) des efforts en ouverture et en fermeture.</w:t>
      </w:r>
    </w:p>
    <w:p w:rsidR="0045445D" w:rsidRDefault="00B5000A" w:rsidP="0045445D">
      <w:pPr>
        <w:ind w:right="-82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Une b</w:t>
      </w:r>
      <w:r w:rsidR="0045445D">
        <w:rPr>
          <w:rFonts w:asciiTheme="minorHAnsi" w:hAnsiTheme="minorHAnsi" w:cs="Arial"/>
        </w:rPr>
        <w:t>a</w:t>
      </w:r>
      <w:r w:rsidR="007D2BA6">
        <w:rPr>
          <w:rFonts w:asciiTheme="minorHAnsi" w:hAnsiTheme="minorHAnsi" w:cs="Arial"/>
        </w:rPr>
        <w:t>r</w:t>
      </w:r>
      <w:r w:rsidR="0045445D">
        <w:rPr>
          <w:rFonts w:asciiTheme="minorHAnsi" w:hAnsiTheme="minorHAnsi" w:cs="Arial"/>
        </w:rPr>
        <w:t>r</w:t>
      </w:r>
      <w:r w:rsidR="007D2BA6">
        <w:rPr>
          <w:rFonts w:asciiTheme="minorHAnsi" w:hAnsiTheme="minorHAnsi" w:cs="Arial"/>
        </w:rPr>
        <w:t>ière immatérielle extérieure</w:t>
      </w:r>
      <w:r w:rsidR="0045445D">
        <w:rPr>
          <w:rFonts w:asciiTheme="minorHAnsi" w:hAnsiTheme="minorHAnsi" w:cs="Arial"/>
        </w:rPr>
        <w:t xml:space="preserve"> à </w:t>
      </w:r>
      <w:r w:rsidR="007D2BA6">
        <w:rPr>
          <w:rFonts w:asciiTheme="minorHAnsi" w:hAnsiTheme="minorHAnsi" w:cs="Arial"/>
        </w:rPr>
        <w:t>22</w:t>
      </w:r>
      <w:r w:rsidR="0045445D">
        <w:rPr>
          <w:rFonts w:asciiTheme="minorHAnsi" w:hAnsiTheme="minorHAnsi" w:cs="Arial"/>
        </w:rPr>
        <w:t xml:space="preserve"> mm du sol, encastré dans les montants (détection d’un corps allongé).</w:t>
      </w:r>
    </w:p>
    <w:p w:rsidR="0045445D" w:rsidRPr="00B5000A" w:rsidRDefault="00B5000A" w:rsidP="0045445D">
      <w:pPr>
        <w:ind w:right="-82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Un barrage cellules intérieur </w:t>
      </w:r>
      <w:r w:rsidR="0011481C">
        <w:rPr>
          <w:rFonts w:asciiTheme="minorHAnsi" w:hAnsiTheme="minorHAnsi" w:cs="Arial"/>
        </w:rPr>
        <w:t>à 400 mm encastré dans les potelets articulés ou intégré au poteau technique</w:t>
      </w:r>
    </w:p>
    <w:p w:rsidR="0045445D" w:rsidRDefault="0011481C" w:rsidP="0045445D">
      <w:pPr>
        <w:ind w:right="-82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Deux feux orange clignotants</w:t>
      </w:r>
    </w:p>
    <w:p w:rsidR="0045445D" w:rsidRDefault="0045445D" w:rsidP="0045445D">
      <w:pPr>
        <w:ind w:right="-828"/>
        <w:rPr>
          <w:rFonts w:asciiTheme="minorHAnsi" w:hAnsiTheme="minorHAnsi" w:cs="Arial"/>
        </w:rPr>
      </w:pPr>
      <w:r w:rsidRPr="0011481C">
        <w:rPr>
          <w:rFonts w:asciiTheme="minorHAnsi" w:hAnsiTheme="minorHAnsi" w:cs="Arial"/>
        </w:rPr>
        <w:t xml:space="preserve">Eclairages à </w:t>
      </w:r>
      <w:proofErr w:type="spellStart"/>
      <w:r w:rsidRPr="0011481C">
        <w:rPr>
          <w:rFonts w:asciiTheme="minorHAnsi" w:hAnsiTheme="minorHAnsi" w:cs="Arial"/>
        </w:rPr>
        <w:t>leds</w:t>
      </w:r>
      <w:proofErr w:type="spellEnd"/>
      <w:r w:rsidRPr="0011481C">
        <w:rPr>
          <w:rFonts w:asciiTheme="minorHAnsi" w:hAnsiTheme="minorHAnsi" w:cs="Arial"/>
        </w:rPr>
        <w:t xml:space="preserve"> intérieurs </w:t>
      </w:r>
      <w:r>
        <w:rPr>
          <w:rFonts w:asciiTheme="minorHAnsi" w:hAnsiTheme="minorHAnsi" w:cs="Arial"/>
        </w:rPr>
        <w:t>de la zone de débattement, intégrés dans les montants.</w:t>
      </w:r>
    </w:p>
    <w:p w:rsidR="0045445D" w:rsidRPr="00814FCF" w:rsidRDefault="0045445D" w:rsidP="0045445D">
      <w:pPr>
        <w:ind w:right="-82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Mouvement réversible à tout moment (dégagement d’une personne).</w:t>
      </w:r>
    </w:p>
    <w:p w:rsidR="0045445D" w:rsidRDefault="0045445D" w:rsidP="0045445D">
      <w:pPr>
        <w:ind w:right="-828"/>
        <w:rPr>
          <w:rFonts w:asciiTheme="minorHAnsi" w:hAnsiTheme="minorHAnsi" w:cs="Arial"/>
        </w:rPr>
      </w:pPr>
      <w:r w:rsidRPr="00814FCF">
        <w:rPr>
          <w:rFonts w:asciiTheme="minorHAnsi" w:hAnsiTheme="minorHAnsi" w:cs="Arial"/>
        </w:rPr>
        <w:t xml:space="preserve">Verrouillage </w:t>
      </w:r>
      <w:r w:rsidR="0011481C">
        <w:rPr>
          <w:rFonts w:asciiTheme="minorHAnsi" w:hAnsiTheme="minorHAnsi" w:cs="Arial"/>
        </w:rPr>
        <w:t>par ventouse électromagnétique</w:t>
      </w:r>
      <w:r w:rsidRPr="00FF022D">
        <w:rPr>
          <w:rFonts w:asciiTheme="minorHAnsi" w:hAnsiTheme="minorHAnsi" w:cs="Arial"/>
        </w:rPr>
        <w:t>.</w:t>
      </w:r>
    </w:p>
    <w:p w:rsidR="0045445D" w:rsidRPr="00814FCF" w:rsidRDefault="0045445D" w:rsidP="0045445D">
      <w:pPr>
        <w:ind w:right="-82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814FCF">
        <w:rPr>
          <w:rFonts w:asciiTheme="minorHAnsi" w:hAnsiTheme="minorHAnsi" w:cs="Arial"/>
        </w:rPr>
        <w:t>ectionneur cadenassable en position OFF.</w:t>
      </w:r>
    </w:p>
    <w:p w:rsidR="0045445D" w:rsidRDefault="0045445D" w:rsidP="0045445D">
      <w:pPr>
        <w:ind w:right="-828"/>
        <w:outlineLvl w:val="0"/>
        <w:rPr>
          <w:rFonts w:asciiTheme="minorHAnsi" w:hAnsiTheme="minorHAnsi" w:cs="Arial"/>
        </w:rPr>
      </w:pPr>
    </w:p>
    <w:p w:rsidR="0045445D" w:rsidRPr="00814FCF" w:rsidRDefault="0045445D" w:rsidP="0045445D">
      <w:pPr>
        <w:ind w:right="-828"/>
        <w:outlineLvl w:val="0"/>
        <w:rPr>
          <w:rFonts w:asciiTheme="minorHAnsi" w:hAnsiTheme="minorHAnsi" w:cs="Arial"/>
        </w:rPr>
      </w:pPr>
      <w:r w:rsidRPr="00814FCF">
        <w:rPr>
          <w:rFonts w:asciiTheme="minorHAnsi" w:hAnsiTheme="minorHAnsi" w:cs="Arial"/>
        </w:rPr>
        <w:t>Le ma</w:t>
      </w:r>
      <w:r>
        <w:rPr>
          <w:rFonts w:asciiTheme="minorHAnsi" w:hAnsiTheme="minorHAnsi" w:cs="Arial"/>
        </w:rPr>
        <w:t>rquage au sol règlementaire de</w:t>
      </w:r>
      <w:r w:rsidRPr="00814FCF">
        <w:rPr>
          <w:rFonts w:asciiTheme="minorHAnsi" w:hAnsiTheme="minorHAnsi" w:cs="Arial"/>
        </w:rPr>
        <w:t xml:space="preserve"> l’aire</w:t>
      </w:r>
      <w:r>
        <w:rPr>
          <w:rFonts w:asciiTheme="minorHAnsi" w:hAnsiTheme="minorHAnsi" w:cs="Arial"/>
        </w:rPr>
        <w:t xml:space="preserve"> de débattement du tablier est à la charge du présent lot.</w:t>
      </w:r>
    </w:p>
    <w:p w:rsidR="0045445D" w:rsidRPr="00814FCF" w:rsidRDefault="0045445D" w:rsidP="0045445D">
      <w:pPr>
        <w:ind w:right="-828"/>
        <w:outlineLvl w:val="0"/>
        <w:rPr>
          <w:rFonts w:asciiTheme="minorHAnsi" w:hAnsiTheme="minorHAnsi" w:cs="Arial"/>
          <w:u w:val="single"/>
        </w:rPr>
      </w:pPr>
    </w:p>
    <w:p w:rsidR="0045445D" w:rsidRPr="00BD7CCC" w:rsidRDefault="0045445D" w:rsidP="0045445D">
      <w:pPr>
        <w:ind w:right="-828"/>
        <w:rPr>
          <w:rFonts w:asciiTheme="minorHAnsi" w:hAnsiTheme="minorHAnsi" w:cs="Arial"/>
          <w:b/>
        </w:rPr>
      </w:pPr>
      <w:r w:rsidRPr="00BD7CCC">
        <w:rPr>
          <w:rFonts w:asciiTheme="minorHAnsi" w:hAnsiTheme="minorHAnsi" w:cs="Arial"/>
          <w:b/>
        </w:rPr>
        <w:t>2.3 -</w:t>
      </w:r>
      <w:r>
        <w:rPr>
          <w:rFonts w:asciiTheme="minorHAnsi" w:hAnsiTheme="minorHAnsi" w:cs="Arial"/>
          <w:b/>
        </w:rPr>
        <w:t xml:space="preserve"> COMMANDE POUR L’OUVERTURE</w:t>
      </w:r>
    </w:p>
    <w:p w:rsidR="0045445D" w:rsidRDefault="0045445D" w:rsidP="0045445D">
      <w:pPr>
        <w:ind w:right="-828"/>
        <w:rPr>
          <w:rFonts w:asciiTheme="minorHAnsi" w:hAnsiTheme="minorHAnsi" w:cs="Arial"/>
        </w:rPr>
      </w:pPr>
    </w:p>
    <w:p w:rsidR="0045445D" w:rsidRDefault="0045445D" w:rsidP="0045445D">
      <w:pPr>
        <w:ind w:right="-82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la charge du lot ELECTRICITE.</w:t>
      </w:r>
    </w:p>
    <w:p w:rsidR="0045445D" w:rsidRDefault="0045445D" w:rsidP="0045445D">
      <w:pPr>
        <w:ind w:right="-828"/>
        <w:rPr>
          <w:rFonts w:asciiTheme="minorHAnsi" w:hAnsiTheme="minorHAnsi" w:cs="Arial"/>
        </w:rPr>
      </w:pPr>
    </w:p>
    <w:p w:rsidR="0045445D" w:rsidRDefault="0045445D" w:rsidP="0045445D">
      <w:pPr>
        <w:ind w:right="-82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2.4 - </w:t>
      </w:r>
      <w:r w:rsidRPr="00814FCF">
        <w:rPr>
          <w:rFonts w:asciiTheme="minorHAnsi" w:hAnsiTheme="minorHAnsi" w:cs="Arial"/>
          <w:b/>
        </w:rPr>
        <w:t xml:space="preserve">DIMENSIONS </w:t>
      </w:r>
    </w:p>
    <w:p w:rsidR="0045445D" w:rsidRDefault="0045445D" w:rsidP="0045445D">
      <w:pPr>
        <w:ind w:right="-828"/>
        <w:rPr>
          <w:rFonts w:asciiTheme="minorHAnsi" w:hAnsiTheme="minorHAnsi" w:cs="Arial"/>
          <w:b/>
        </w:rPr>
      </w:pPr>
    </w:p>
    <w:p w:rsidR="0045445D" w:rsidRDefault="0045445D" w:rsidP="0045445D">
      <w:pPr>
        <w:ind w:right="-828"/>
        <w:rPr>
          <w:rFonts w:asciiTheme="minorHAnsi" w:hAnsiTheme="minorHAnsi" w:cs="Arial"/>
        </w:rPr>
      </w:pPr>
      <w:r w:rsidRPr="00BD7CCC">
        <w:rPr>
          <w:rFonts w:asciiTheme="minorHAnsi" w:hAnsiTheme="minorHAnsi" w:cs="Arial"/>
        </w:rPr>
        <w:t xml:space="preserve">Dimensions de la baie : L             x H             </w:t>
      </w:r>
      <w:proofErr w:type="gramStart"/>
      <w:r w:rsidRPr="00BD7CCC">
        <w:rPr>
          <w:rFonts w:asciiTheme="minorHAnsi" w:hAnsiTheme="minorHAnsi" w:cs="Arial"/>
        </w:rPr>
        <w:t xml:space="preserve">   (</w:t>
      </w:r>
      <w:proofErr w:type="gramEnd"/>
      <w:r w:rsidRPr="00BD7CCC">
        <w:rPr>
          <w:rFonts w:asciiTheme="minorHAnsi" w:hAnsiTheme="minorHAnsi" w:cs="Arial"/>
        </w:rPr>
        <w:t>mm)</w:t>
      </w:r>
    </w:p>
    <w:p w:rsidR="0045445D" w:rsidRPr="00BD7CCC" w:rsidRDefault="0045445D" w:rsidP="0045445D">
      <w:pPr>
        <w:ind w:right="-828"/>
        <w:rPr>
          <w:rFonts w:asciiTheme="minorHAnsi" w:hAnsiTheme="minorHAnsi" w:cs="Arial"/>
        </w:rPr>
      </w:pPr>
    </w:p>
    <w:p w:rsidR="0045445D" w:rsidRPr="00814FCF" w:rsidRDefault="0045445D" w:rsidP="0045445D">
      <w:pPr>
        <w:ind w:right="-828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2.5 - LOCALISATION</w:t>
      </w:r>
    </w:p>
    <w:p w:rsidR="0045445D" w:rsidRDefault="0045445D" w:rsidP="0045445D">
      <w:pPr>
        <w:ind w:right="-828"/>
        <w:rPr>
          <w:rFonts w:asciiTheme="minorHAnsi" w:hAnsiTheme="minorHAnsi" w:cs="Arial"/>
        </w:rPr>
      </w:pPr>
    </w:p>
    <w:p w:rsidR="0045445D" w:rsidRDefault="0045445D" w:rsidP="0045445D">
      <w:pPr>
        <w:ind w:right="-828"/>
        <w:rPr>
          <w:rFonts w:asciiTheme="minorHAnsi" w:hAnsiTheme="minorHAnsi" w:cs="Arial"/>
        </w:rPr>
      </w:pPr>
      <w:r w:rsidRPr="00814FCF">
        <w:rPr>
          <w:rFonts w:asciiTheme="minorHAnsi" w:hAnsiTheme="minorHAnsi" w:cs="Arial"/>
        </w:rPr>
        <w:t>Le raccordement des équipements électriques du présent lot se fera sur les attentes laissées par le lot ELECTRICITE.</w:t>
      </w:r>
    </w:p>
    <w:p w:rsidR="0045445D" w:rsidRDefault="0045445D" w:rsidP="0045445D">
      <w:pPr>
        <w:ind w:right="-828"/>
        <w:rPr>
          <w:rFonts w:asciiTheme="minorHAnsi" w:hAnsiTheme="minorHAnsi" w:cs="Arial"/>
        </w:rPr>
      </w:pPr>
    </w:p>
    <w:p w:rsidR="0045445D" w:rsidRDefault="0045445D" w:rsidP="0045445D">
      <w:pPr>
        <w:ind w:right="-828"/>
        <w:rPr>
          <w:rFonts w:asciiTheme="minorHAnsi" w:hAnsiTheme="minorHAnsi" w:cs="Arial"/>
        </w:rPr>
      </w:pPr>
    </w:p>
    <w:p w:rsidR="0045445D" w:rsidRDefault="0045445D" w:rsidP="00CF3390">
      <w:pPr>
        <w:jc w:val="center"/>
        <w:rPr>
          <w:rFonts w:asciiTheme="minorHAnsi" w:hAnsiTheme="minorHAnsi" w:cs="Arial"/>
          <w:b/>
          <w:sz w:val="22"/>
          <w:szCs w:val="20"/>
          <w:u w:val="single"/>
        </w:rPr>
      </w:pPr>
    </w:p>
    <w:p w:rsidR="0045445D" w:rsidRDefault="0045445D" w:rsidP="00CF3390">
      <w:pPr>
        <w:jc w:val="center"/>
        <w:rPr>
          <w:rFonts w:asciiTheme="minorHAnsi" w:hAnsiTheme="minorHAnsi" w:cs="Arial"/>
          <w:b/>
          <w:sz w:val="22"/>
          <w:szCs w:val="20"/>
          <w:u w:val="single"/>
        </w:rPr>
      </w:pPr>
    </w:p>
    <w:sectPr w:rsidR="0045445D" w:rsidSect="000E41D5">
      <w:pgSz w:w="11906" w:h="16838" w:code="9"/>
      <w:pgMar w:top="907" w:right="1134" w:bottom="567" w:left="851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A5A" w:rsidRDefault="00864A5A">
      <w:r>
        <w:separator/>
      </w:r>
    </w:p>
  </w:endnote>
  <w:endnote w:type="continuationSeparator" w:id="0">
    <w:p w:rsidR="00864A5A" w:rsidRDefault="0086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A5A" w:rsidRDefault="00864A5A">
      <w:r>
        <w:separator/>
      </w:r>
    </w:p>
  </w:footnote>
  <w:footnote w:type="continuationSeparator" w:id="0">
    <w:p w:rsidR="00864A5A" w:rsidRDefault="00864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73EC7"/>
    <w:multiLevelType w:val="multilevel"/>
    <w:tmpl w:val="E9ECC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884298"/>
    <w:multiLevelType w:val="hybridMultilevel"/>
    <w:tmpl w:val="BCA8F234"/>
    <w:lvl w:ilvl="0" w:tplc="59D47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20B"/>
    <w:rsid w:val="000117CC"/>
    <w:rsid w:val="000169B1"/>
    <w:rsid w:val="000264F2"/>
    <w:rsid w:val="00070EA5"/>
    <w:rsid w:val="00072883"/>
    <w:rsid w:val="00075962"/>
    <w:rsid w:val="00080211"/>
    <w:rsid w:val="00082D9A"/>
    <w:rsid w:val="0008737B"/>
    <w:rsid w:val="00087851"/>
    <w:rsid w:val="000A5812"/>
    <w:rsid w:val="000C0070"/>
    <w:rsid w:val="000D11A0"/>
    <w:rsid w:val="000E1C14"/>
    <w:rsid w:val="000E41D5"/>
    <w:rsid w:val="000F6000"/>
    <w:rsid w:val="00114033"/>
    <w:rsid w:val="0011481C"/>
    <w:rsid w:val="00114CEA"/>
    <w:rsid w:val="00142D87"/>
    <w:rsid w:val="00171022"/>
    <w:rsid w:val="001918F1"/>
    <w:rsid w:val="001D6C0B"/>
    <w:rsid w:val="001F5C0C"/>
    <w:rsid w:val="00200D87"/>
    <w:rsid w:val="00213140"/>
    <w:rsid w:val="00216E9B"/>
    <w:rsid w:val="00237A8F"/>
    <w:rsid w:val="00242629"/>
    <w:rsid w:val="00282D72"/>
    <w:rsid w:val="002B76BA"/>
    <w:rsid w:val="002D35FC"/>
    <w:rsid w:val="002D3DE3"/>
    <w:rsid w:val="00310669"/>
    <w:rsid w:val="00321D8E"/>
    <w:rsid w:val="00334369"/>
    <w:rsid w:val="00353DEB"/>
    <w:rsid w:val="00371006"/>
    <w:rsid w:val="003726C2"/>
    <w:rsid w:val="00384EE2"/>
    <w:rsid w:val="00396E5D"/>
    <w:rsid w:val="003A1C55"/>
    <w:rsid w:val="003F4948"/>
    <w:rsid w:val="00404A66"/>
    <w:rsid w:val="00412B12"/>
    <w:rsid w:val="00432E15"/>
    <w:rsid w:val="004356EB"/>
    <w:rsid w:val="0045097B"/>
    <w:rsid w:val="0045445D"/>
    <w:rsid w:val="004708DA"/>
    <w:rsid w:val="004E3BB2"/>
    <w:rsid w:val="004F19BB"/>
    <w:rsid w:val="0050231E"/>
    <w:rsid w:val="005413EB"/>
    <w:rsid w:val="00542940"/>
    <w:rsid w:val="00544ABE"/>
    <w:rsid w:val="0055290C"/>
    <w:rsid w:val="005B50BB"/>
    <w:rsid w:val="005D12BB"/>
    <w:rsid w:val="005D3171"/>
    <w:rsid w:val="005E0247"/>
    <w:rsid w:val="005E0C05"/>
    <w:rsid w:val="005F503D"/>
    <w:rsid w:val="00623100"/>
    <w:rsid w:val="0063451C"/>
    <w:rsid w:val="00650233"/>
    <w:rsid w:val="00667200"/>
    <w:rsid w:val="00675D80"/>
    <w:rsid w:val="006A00AF"/>
    <w:rsid w:val="006B2BE1"/>
    <w:rsid w:val="006B5226"/>
    <w:rsid w:val="006C1ED9"/>
    <w:rsid w:val="006E020B"/>
    <w:rsid w:val="006E25DE"/>
    <w:rsid w:val="00727647"/>
    <w:rsid w:val="00744BDF"/>
    <w:rsid w:val="00750273"/>
    <w:rsid w:val="00766FB0"/>
    <w:rsid w:val="007C0B5C"/>
    <w:rsid w:val="007D2BA6"/>
    <w:rsid w:val="0081341F"/>
    <w:rsid w:val="00813857"/>
    <w:rsid w:val="00864A5A"/>
    <w:rsid w:val="008676AF"/>
    <w:rsid w:val="00871C61"/>
    <w:rsid w:val="00883706"/>
    <w:rsid w:val="008A669C"/>
    <w:rsid w:val="008C3814"/>
    <w:rsid w:val="008D07F7"/>
    <w:rsid w:val="008D616A"/>
    <w:rsid w:val="00935753"/>
    <w:rsid w:val="00935F1F"/>
    <w:rsid w:val="00941177"/>
    <w:rsid w:val="00957F35"/>
    <w:rsid w:val="009944A5"/>
    <w:rsid w:val="00997B24"/>
    <w:rsid w:val="009B3111"/>
    <w:rsid w:val="009C6CE6"/>
    <w:rsid w:val="009E40E8"/>
    <w:rsid w:val="009E4AC5"/>
    <w:rsid w:val="00A13342"/>
    <w:rsid w:val="00A6223B"/>
    <w:rsid w:val="00A63F05"/>
    <w:rsid w:val="00A8193F"/>
    <w:rsid w:val="00A941DC"/>
    <w:rsid w:val="00AA2EE6"/>
    <w:rsid w:val="00AC0348"/>
    <w:rsid w:val="00AC66DF"/>
    <w:rsid w:val="00AD47DC"/>
    <w:rsid w:val="00AF4510"/>
    <w:rsid w:val="00B5000A"/>
    <w:rsid w:val="00B57713"/>
    <w:rsid w:val="00B6410D"/>
    <w:rsid w:val="00B81C44"/>
    <w:rsid w:val="00B9745A"/>
    <w:rsid w:val="00BE611F"/>
    <w:rsid w:val="00BF56DE"/>
    <w:rsid w:val="00C21E8E"/>
    <w:rsid w:val="00C24551"/>
    <w:rsid w:val="00C64A48"/>
    <w:rsid w:val="00C6691D"/>
    <w:rsid w:val="00C67314"/>
    <w:rsid w:val="00C72C89"/>
    <w:rsid w:val="00C750AB"/>
    <w:rsid w:val="00C779BE"/>
    <w:rsid w:val="00CA043C"/>
    <w:rsid w:val="00CA08C2"/>
    <w:rsid w:val="00CB04BB"/>
    <w:rsid w:val="00CB5056"/>
    <w:rsid w:val="00CE2B09"/>
    <w:rsid w:val="00CE2D33"/>
    <w:rsid w:val="00CF0F1C"/>
    <w:rsid w:val="00CF3390"/>
    <w:rsid w:val="00D0084B"/>
    <w:rsid w:val="00D12920"/>
    <w:rsid w:val="00D245ED"/>
    <w:rsid w:val="00D25B98"/>
    <w:rsid w:val="00D27CAE"/>
    <w:rsid w:val="00D33435"/>
    <w:rsid w:val="00D75691"/>
    <w:rsid w:val="00D77666"/>
    <w:rsid w:val="00D97EF0"/>
    <w:rsid w:val="00DA5DF7"/>
    <w:rsid w:val="00DC584B"/>
    <w:rsid w:val="00DC5F72"/>
    <w:rsid w:val="00DF1E9A"/>
    <w:rsid w:val="00DF3C91"/>
    <w:rsid w:val="00E23758"/>
    <w:rsid w:val="00E27B31"/>
    <w:rsid w:val="00E44794"/>
    <w:rsid w:val="00E5064C"/>
    <w:rsid w:val="00E73646"/>
    <w:rsid w:val="00EA2033"/>
    <w:rsid w:val="00EA2B65"/>
    <w:rsid w:val="00EA41D3"/>
    <w:rsid w:val="00EA6B35"/>
    <w:rsid w:val="00EB385B"/>
    <w:rsid w:val="00EC13F7"/>
    <w:rsid w:val="00EC4182"/>
    <w:rsid w:val="00ED3072"/>
    <w:rsid w:val="00EE7E9B"/>
    <w:rsid w:val="00F0338A"/>
    <w:rsid w:val="00F301DB"/>
    <w:rsid w:val="00F434C1"/>
    <w:rsid w:val="00F850F7"/>
    <w:rsid w:val="00F9634C"/>
    <w:rsid w:val="00FD6E14"/>
    <w:rsid w:val="00FE019E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FA058"/>
  <w15:docId w15:val="{8271FC23-0B10-4E0A-802B-876F7B4C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385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E2B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CE2B09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766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basedOn w:val="Policepardfaut"/>
    <w:rsid w:val="00EC4182"/>
    <w:rPr>
      <w:color w:val="0000FF"/>
      <w:u w:val="single"/>
    </w:rPr>
  </w:style>
  <w:style w:type="paragraph" w:styleId="Textedebulles">
    <w:name w:val="Balloon Text"/>
    <w:basedOn w:val="Normal"/>
    <w:semiHidden/>
    <w:rsid w:val="00750273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F434C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5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PORTE AUTOMATIQUE D’ACCES AUX GARAGES</vt:lpstr>
    </vt:vector>
  </TitlesOfParts>
  <Company> </Company>
  <LinksUpToDate>false</LinksUpToDate>
  <CharactersWithSpaces>4295</CharactersWithSpaces>
  <SharedDoc>false</SharedDoc>
  <HLinks>
    <vt:vector size="6" baseType="variant">
      <vt:variant>
        <vt:i4>2752546</vt:i4>
      </vt:variant>
      <vt:variant>
        <vt:i4>0</vt:i4>
      </vt:variant>
      <vt:variant>
        <vt:i4>0</vt:i4>
      </vt:variant>
      <vt:variant>
        <vt:i4>5</vt:i4>
      </vt:variant>
      <vt:variant>
        <vt:lpwstr>http://www.portesafir.com/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PORTE AUTOMATIQUE D’ACCES AUX GARAGES</dc:title>
  <dc:subject/>
  <dc:creator>ldelanos</dc:creator>
  <cp:keywords/>
  <dc:description/>
  <cp:lastModifiedBy>Christophe Legouteil</cp:lastModifiedBy>
  <cp:revision>12</cp:revision>
  <cp:lastPrinted>2015-08-03T13:17:00Z</cp:lastPrinted>
  <dcterms:created xsi:type="dcterms:W3CDTF">2011-12-19T12:31:00Z</dcterms:created>
  <dcterms:modified xsi:type="dcterms:W3CDTF">2018-12-12T12:11:00Z</dcterms:modified>
</cp:coreProperties>
</file>